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86" w:rsidRPr="00780A51" w:rsidRDefault="00D91265" w:rsidP="00DE1AEE">
      <w:pPr>
        <w:tabs>
          <w:tab w:val="left" w:pos="426"/>
        </w:tabs>
        <w:rPr>
          <w:rStyle w:val="SubtleEmphasis"/>
          <w:sz w:val="22"/>
          <w:szCs w:val="22"/>
          <w:lang w:val="bs-Latn-BA"/>
        </w:rPr>
      </w:pPr>
      <w:r w:rsidRPr="00F057B1">
        <w:rPr>
          <w:noProof/>
          <w:sz w:val="22"/>
          <w:szCs w:val="22"/>
          <w:lang w:val="bs-Latn-BA" w:eastAsia="bs-Latn-BA"/>
        </w:rPr>
        <w:drawing>
          <wp:anchor distT="0" distB="0" distL="114300" distR="114300" simplePos="0" relativeHeight="251657728" behindDoc="0" locked="0" layoutInCell="1" allowOverlap="1" wp14:anchorId="320959AD" wp14:editId="2BC209A1">
            <wp:simplePos x="0" y="0"/>
            <wp:positionH relativeFrom="column">
              <wp:posOffset>3034665</wp:posOffset>
            </wp:positionH>
            <wp:positionV relativeFrom="paragraph">
              <wp:posOffset>-60452</wp:posOffset>
            </wp:positionV>
            <wp:extent cx="571500" cy="685800"/>
            <wp:effectExtent l="0" t="0" r="0" b="0"/>
            <wp:wrapNone/>
            <wp:docPr id="4" name="Picture 4" descr="Grb_B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_Bosn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A51">
        <w:rPr>
          <w:rStyle w:val="SubtleEmphasis"/>
          <w:sz w:val="22"/>
          <w:szCs w:val="22"/>
          <w:lang w:val="bs-Latn-BA"/>
        </w:rPr>
        <w:t xml:space="preserve"> </w:t>
      </w:r>
    </w:p>
    <w:tbl>
      <w:tblPr>
        <w:tblpPr w:leftFromText="180" w:rightFromText="180" w:vertAnchor="text" w:horzAnchor="margin" w:tblpX="-472" w:tblpY="-359"/>
        <w:tblW w:w="11037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2116"/>
        <w:gridCol w:w="4169"/>
      </w:tblGrid>
      <w:tr w:rsidR="00B75C72" w:rsidRPr="00F057B1" w:rsidTr="00D91265">
        <w:trPr>
          <w:trHeight w:val="1240"/>
        </w:trPr>
        <w:tc>
          <w:tcPr>
            <w:tcW w:w="4752" w:type="dxa"/>
            <w:vAlign w:val="center"/>
          </w:tcPr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bs-Latn-BA"/>
              </w:rPr>
              <w:t xml:space="preserve">                 </w:t>
            </w:r>
            <w:r w:rsidRPr="00CE1D3A">
              <w:rPr>
                <w:szCs w:val="24"/>
              </w:rPr>
              <w:t>Bosna i Hercegovina</w:t>
            </w:r>
          </w:p>
          <w:p w:rsidR="00B75C72" w:rsidRPr="00F057B1" w:rsidRDefault="00B75C72" w:rsidP="00DE1AEE">
            <w:pPr>
              <w:pStyle w:val="Heading8"/>
              <w:tabs>
                <w:tab w:val="left" w:pos="426"/>
              </w:tabs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057B1">
              <w:rPr>
                <w:rFonts w:ascii="Times New Roman" w:hAnsi="Times New Roman" w:cs="Times New Roman"/>
                <w:i w:val="0"/>
                <w:sz w:val="22"/>
                <w:szCs w:val="22"/>
              </w:rPr>
              <w:t>Uprava za indirektno-neizravno oporezivanje</w:t>
            </w:r>
          </w:p>
          <w:p w:rsidR="00B75C72" w:rsidRPr="00F057B1" w:rsidRDefault="00B75C72" w:rsidP="00DE1AEE">
            <w:pPr>
              <w:pStyle w:val="Heading7"/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116" w:type="dxa"/>
          </w:tcPr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  <w:lang w:val="hr-BA"/>
              </w:rPr>
            </w:pPr>
          </w:p>
        </w:tc>
        <w:tc>
          <w:tcPr>
            <w:tcW w:w="4169" w:type="dxa"/>
            <w:vAlign w:val="center"/>
          </w:tcPr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  <w:lang w:val="fr-FR"/>
              </w:rPr>
            </w:pPr>
          </w:p>
          <w:p w:rsidR="00B75C72" w:rsidRPr="00CE1D3A" w:rsidRDefault="00B75C72" w:rsidP="00DE1AEE">
            <w:pPr>
              <w:tabs>
                <w:tab w:val="left" w:pos="426"/>
              </w:tabs>
              <w:rPr>
                <w:szCs w:val="24"/>
              </w:rPr>
            </w:pPr>
            <w:r w:rsidRPr="00F057B1">
              <w:rPr>
                <w:sz w:val="22"/>
                <w:szCs w:val="22"/>
                <w:lang w:val="fr-FR"/>
              </w:rPr>
              <w:t xml:space="preserve"> </w:t>
            </w:r>
            <w:r w:rsidRPr="00CE1D3A">
              <w:rPr>
                <w:szCs w:val="24"/>
              </w:rPr>
              <w:t>Босна и Херцеговина</w:t>
            </w:r>
          </w:p>
          <w:p w:rsidR="00B75C72" w:rsidRPr="00F057B1" w:rsidRDefault="00B75C72" w:rsidP="00DE1AE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F057B1">
              <w:rPr>
                <w:sz w:val="22"/>
                <w:szCs w:val="22"/>
              </w:rPr>
              <w:t>Управа за индиректно опорезивање</w:t>
            </w: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  <w:p w:rsidR="00B75C72" w:rsidRPr="00F057B1" w:rsidRDefault="00B75C72" w:rsidP="00DE1AEE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A66A34" w:rsidRPr="00F057B1" w:rsidRDefault="00A66A34" w:rsidP="00DE1AEE">
      <w:pPr>
        <w:tabs>
          <w:tab w:val="left" w:pos="426"/>
        </w:tabs>
        <w:rPr>
          <w:sz w:val="22"/>
          <w:szCs w:val="22"/>
          <w:lang w:val="hr-BA"/>
        </w:rPr>
      </w:pPr>
    </w:p>
    <w:tbl>
      <w:tblPr>
        <w:tblW w:w="16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"/>
        <w:gridCol w:w="37"/>
        <w:gridCol w:w="2452"/>
        <w:gridCol w:w="2154"/>
        <w:gridCol w:w="2898"/>
        <w:gridCol w:w="1080"/>
        <w:gridCol w:w="531"/>
        <w:gridCol w:w="104"/>
        <w:gridCol w:w="74"/>
        <w:gridCol w:w="162"/>
        <w:gridCol w:w="74"/>
        <w:gridCol w:w="234"/>
        <w:gridCol w:w="761"/>
        <w:gridCol w:w="3574"/>
        <w:gridCol w:w="933"/>
        <w:gridCol w:w="920"/>
        <w:gridCol w:w="452"/>
      </w:tblGrid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DE1AEE" w:rsidP="00CD28BE">
            <w:pPr>
              <w:tabs>
                <w:tab w:val="left" w:pos="426"/>
              </w:tabs>
              <w:ind w:left="357" w:hanging="357"/>
              <w:rPr>
                <w:bCs/>
                <w:sz w:val="20"/>
                <w:lang w:val="en-US" w:eastAsia="en-US"/>
              </w:rPr>
            </w:pPr>
            <w:r w:rsidRPr="00A22888">
              <w:rPr>
                <w:bCs/>
                <w:sz w:val="20"/>
                <w:lang w:val="en-US" w:eastAsia="en-US"/>
              </w:rPr>
              <w:t xml:space="preserve">   </w:t>
            </w:r>
            <w:r w:rsidR="00CD28BE">
              <w:rPr>
                <w:bCs/>
                <w:sz w:val="20"/>
                <w:lang w:val="en-US" w:eastAsia="en-US"/>
              </w:rPr>
              <w:t xml:space="preserve">    </w:t>
            </w:r>
            <w:r w:rsidR="00C17B24" w:rsidRPr="00A22888">
              <w:rPr>
                <w:bCs/>
                <w:sz w:val="20"/>
                <w:lang w:val="en-US" w:eastAsia="en-US"/>
              </w:rPr>
              <w:t>REGIONALNI CENTAR SARAJEVO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C17B24" w:rsidP="00C55596">
            <w:pPr>
              <w:ind w:left="357" w:hanging="357"/>
              <w:jc w:val="both"/>
              <w:rPr>
                <w:sz w:val="20"/>
                <w:lang w:val="hr-BA"/>
              </w:rPr>
            </w:pPr>
            <w:r w:rsidRPr="00A22888">
              <w:rPr>
                <w:color w:val="000000"/>
                <w:sz w:val="20"/>
                <w:lang w:val="en-US" w:eastAsia="en-US"/>
              </w:rPr>
              <w:t xml:space="preserve"> </w:t>
            </w:r>
            <w:r w:rsidR="00CD28BE">
              <w:rPr>
                <w:color w:val="000000"/>
                <w:sz w:val="20"/>
                <w:lang w:val="en-US" w:eastAsia="en-US"/>
              </w:rPr>
              <w:t xml:space="preserve">      </w:t>
            </w:r>
            <w:r w:rsidR="00A66A34" w:rsidRPr="00A22888">
              <w:rPr>
                <w:color w:val="000000"/>
                <w:sz w:val="20"/>
                <w:lang w:val="en-US" w:eastAsia="en-US"/>
              </w:rPr>
              <w:t>Broj</w:t>
            </w:r>
            <w:r w:rsidR="00C55596">
              <w:rPr>
                <w:color w:val="000000"/>
                <w:sz w:val="20"/>
                <w:lang w:val="en-US" w:eastAsia="en-US"/>
              </w:rPr>
              <w:t>:</w:t>
            </w:r>
            <w:r w:rsidR="00C55596" w:rsidRPr="00C55596">
              <w:rPr>
                <w:color w:val="000000"/>
                <w:sz w:val="20"/>
                <w:lang w:val="en-US" w:eastAsia="en-US"/>
              </w:rPr>
              <w:t>02/6-2/II-16-16-101-23583-2</w:t>
            </w:r>
            <w:r w:rsidR="00C55596">
              <w:rPr>
                <w:color w:val="000000"/>
                <w:sz w:val="20"/>
                <w:lang w:val="en-US" w:eastAsia="en-US"/>
              </w:rPr>
              <w:t>3</w:t>
            </w:r>
            <w:r w:rsidR="00C55596" w:rsidRPr="00C55596">
              <w:rPr>
                <w:color w:val="000000"/>
                <w:sz w:val="20"/>
                <w:lang w:val="en-US" w:eastAsia="en-US"/>
              </w:rPr>
              <w:t>/19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4"/>
          <w:wAfter w:w="5879" w:type="dxa"/>
          <w:trHeight w:val="264"/>
        </w:trPr>
        <w:tc>
          <w:tcPr>
            <w:tcW w:w="4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Default="00DE1AEE" w:rsidP="00CD28BE">
            <w:pPr>
              <w:tabs>
                <w:tab w:val="left" w:pos="426"/>
              </w:tabs>
              <w:ind w:left="357" w:hanging="357"/>
              <w:rPr>
                <w:sz w:val="20"/>
                <w:lang w:val="en-US" w:eastAsia="en-US"/>
              </w:rPr>
            </w:pPr>
            <w:r w:rsidRPr="00A22888">
              <w:rPr>
                <w:sz w:val="20"/>
                <w:lang w:val="en-US" w:eastAsia="en-US"/>
              </w:rPr>
              <w:t xml:space="preserve">   </w:t>
            </w:r>
            <w:r w:rsidR="00CD28BE">
              <w:rPr>
                <w:sz w:val="20"/>
                <w:lang w:val="en-US" w:eastAsia="en-US"/>
              </w:rPr>
              <w:t xml:space="preserve">    </w:t>
            </w:r>
            <w:r w:rsidR="00B802C3" w:rsidRPr="00A22888">
              <w:rPr>
                <w:sz w:val="20"/>
                <w:lang w:val="en-US" w:eastAsia="en-US"/>
              </w:rPr>
              <w:t>Sarajevo,</w:t>
            </w:r>
            <w:r w:rsidR="00A3133D" w:rsidRPr="00A22888">
              <w:rPr>
                <w:sz w:val="20"/>
                <w:lang w:val="en-US" w:eastAsia="en-US"/>
              </w:rPr>
              <w:t xml:space="preserve"> </w:t>
            </w:r>
            <w:r w:rsidR="00D45188">
              <w:rPr>
                <w:sz w:val="20"/>
                <w:lang w:val="en-US" w:eastAsia="en-US"/>
              </w:rPr>
              <w:t>08</w:t>
            </w:r>
            <w:r w:rsidR="00617EEC" w:rsidRPr="00A22888">
              <w:rPr>
                <w:sz w:val="20"/>
                <w:lang w:val="en-US" w:eastAsia="en-US"/>
              </w:rPr>
              <w:t>.</w:t>
            </w:r>
            <w:r w:rsidR="00D45188">
              <w:rPr>
                <w:sz w:val="20"/>
                <w:lang w:val="en-US" w:eastAsia="en-US"/>
              </w:rPr>
              <w:t>1</w:t>
            </w:r>
            <w:r w:rsidR="00B96358">
              <w:rPr>
                <w:sz w:val="20"/>
                <w:lang w:val="en-US" w:eastAsia="en-US"/>
              </w:rPr>
              <w:t>1</w:t>
            </w:r>
            <w:r w:rsidR="00617EEC" w:rsidRPr="00A22888">
              <w:rPr>
                <w:sz w:val="20"/>
                <w:lang w:val="en-US" w:eastAsia="en-US"/>
              </w:rPr>
              <w:t>.202</w:t>
            </w:r>
            <w:r w:rsidR="00D45188">
              <w:rPr>
                <w:sz w:val="20"/>
                <w:lang w:val="en-US" w:eastAsia="en-US"/>
              </w:rPr>
              <w:t>4</w:t>
            </w:r>
          </w:p>
          <w:p w:rsidR="007B0BD2" w:rsidRPr="00A22888" w:rsidRDefault="007B0BD2" w:rsidP="00CD28BE">
            <w:pPr>
              <w:tabs>
                <w:tab w:val="left" w:pos="426"/>
              </w:tabs>
              <w:ind w:left="357" w:hanging="357"/>
              <w:rPr>
                <w:sz w:val="20"/>
                <w:lang w:val="en-US"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5"/>
          <w:wAfter w:w="6640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A22888" w:rsidRDefault="00984B84" w:rsidP="002604F4">
            <w:pPr>
              <w:tabs>
                <w:tab w:val="left" w:pos="426"/>
              </w:tabs>
              <w:ind w:left="318"/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Na osnovu člana 16.stav(1)Zakona o postupku prinudne naplate indirektnih poreza (Službeni glasnik Bosne i Hercegovine broj 89/05 i 62/11), Člana 68. i 73.Pravilnika o provođenju Zakona o postupku prinudne indirektnih poreza (Službeni glasnik Bosne i Hercegovine broj 35/20), radi namirenja dugovanja prodaj</w:t>
            </w:r>
            <w:r w:rsidR="002604F4" w:rsidRPr="00A22888">
              <w:rPr>
                <w:sz w:val="20"/>
                <w:lang w:val="hr-BA" w:eastAsia="en-US"/>
              </w:rPr>
              <w:t>o</w:t>
            </w:r>
            <w:r w:rsidRPr="00A22888">
              <w:rPr>
                <w:sz w:val="20"/>
                <w:lang w:val="hr-BA" w:eastAsia="en-US"/>
              </w:rPr>
              <w:t xml:space="preserve">m </w:t>
            </w:r>
            <w:r w:rsidR="009E244F" w:rsidRPr="00A22888">
              <w:rPr>
                <w:sz w:val="20"/>
                <w:lang w:val="hr-BA" w:eastAsia="en-US"/>
              </w:rPr>
              <w:t xml:space="preserve">zaplijenjene imovine, </w:t>
            </w:r>
            <w:r w:rsidR="003B09E4" w:rsidRPr="00A22888">
              <w:rPr>
                <w:sz w:val="20"/>
                <w:lang w:val="hr-BA" w:eastAsia="en-US"/>
              </w:rPr>
              <w:t>Uprava za indirektno oporezivanje,</w:t>
            </w:r>
            <w:r w:rsidR="009E244F" w:rsidRPr="00A22888">
              <w:rPr>
                <w:sz w:val="20"/>
                <w:lang w:val="hr-BA" w:eastAsia="en-US"/>
              </w:rPr>
              <w:t xml:space="preserve"> </w:t>
            </w:r>
            <w:r w:rsidR="003B09E4" w:rsidRPr="00A22888">
              <w:rPr>
                <w:sz w:val="20"/>
                <w:lang w:val="hr-BA" w:eastAsia="en-US"/>
              </w:rPr>
              <w:t>Regionalni centar Sarajevo, Grupa za prinudnu naplatu najavljuje: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eastAsia="en-US"/>
              </w:rPr>
            </w:pPr>
          </w:p>
        </w:tc>
      </w:tr>
      <w:tr w:rsidR="00A66A34" w:rsidRPr="00A22888" w:rsidTr="007D6552">
        <w:trPr>
          <w:gridAfter w:val="7"/>
          <w:wAfter w:w="6948" w:type="dxa"/>
          <w:trHeight w:val="264"/>
        </w:trPr>
        <w:tc>
          <w:tcPr>
            <w:tcW w:w="9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45BF" w:rsidRPr="00A22888" w:rsidRDefault="009345BF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25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A34" w:rsidRPr="00A22888" w:rsidRDefault="003C0AA7" w:rsidP="00DE1AEE">
            <w:pPr>
              <w:tabs>
                <w:tab w:val="left" w:pos="426"/>
              </w:tabs>
              <w:ind w:left="-250"/>
              <w:jc w:val="center"/>
              <w:rPr>
                <w:b/>
                <w:bCs/>
                <w:sz w:val="20"/>
                <w:u w:val="single"/>
                <w:lang w:val="en-US" w:eastAsia="en-US"/>
              </w:rPr>
            </w:pPr>
            <w:r w:rsidRPr="00A22888">
              <w:rPr>
                <w:b/>
                <w:bCs/>
                <w:sz w:val="20"/>
                <w:u w:val="single"/>
                <w:lang w:val="en-US" w:eastAsia="en-US"/>
              </w:rPr>
              <w:t xml:space="preserve">DIREKTNA PRODAJA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A66A34" w:rsidRPr="00A22888" w:rsidTr="007D6552">
        <w:trPr>
          <w:gridAfter w:val="7"/>
          <w:wAfter w:w="6948" w:type="dxa"/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  <w:tc>
          <w:tcPr>
            <w:tcW w:w="925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b/>
                <w:bCs/>
                <w:sz w:val="20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en-US" w:eastAsia="en-US"/>
              </w:rPr>
            </w:pPr>
          </w:p>
        </w:tc>
      </w:tr>
      <w:tr w:rsidR="0055457C" w:rsidRPr="00A22888" w:rsidTr="007D6552">
        <w:trPr>
          <w:gridAfter w:val="4"/>
          <w:wAfter w:w="5879" w:type="dxa"/>
          <w:trHeight w:val="264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F7D" w:rsidRPr="00A22888" w:rsidRDefault="00427F7D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</w:tr>
      <w:tr w:rsidR="00A66A34" w:rsidRPr="00A22888" w:rsidTr="007D6552">
        <w:trPr>
          <w:gridAfter w:val="10"/>
          <w:wAfter w:w="7288" w:type="dxa"/>
          <w:trHeight w:val="264"/>
        </w:trPr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0"/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3C0AA7" w:rsidP="00BA1880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 xml:space="preserve">Direktna prodaja </w:t>
            </w:r>
            <w:r w:rsidR="00A66A34" w:rsidRPr="00A22888">
              <w:rPr>
                <w:sz w:val="20"/>
                <w:lang w:val="hr-BA" w:eastAsia="en-US"/>
              </w:rPr>
              <w:t xml:space="preserve"> će se održati </w:t>
            </w:r>
            <w:r w:rsidR="00980CC3" w:rsidRPr="00A22888">
              <w:rPr>
                <w:sz w:val="20"/>
                <w:lang w:val="hr-BA" w:eastAsia="en-US"/>
              </w:rPr>
              <w:t xml:space="preserve"> </w:t>
            </w:r>
            <w:r w:rsidR="00C55596">
              <w:rPr>
                <w:sz w:val="20"/>
                <w:lang w:val="hr-BA" w:eastAsia="en-US"/>
              </w:rPr>
              <w:t>2</w:t>
            </w:r>
            <w:r w:rsidR="00BA1880">
              <w:rPr>
                <w:sz w:val="20"/>
                <w:lang w:val="hr-BA" w:eastAsia="en-US"/>
              </w:rPr>
              <w:t>1</w:t>
            </w:r>
            <w:bookmarkStart w:id="0" w:name="_GoBack"/>
            <w:bookmarkEnd w:id="0"/>
            <w:r w:rsidR="00326336" w:rsidRPr="00A22888">
              <w:rPr>
                <w:sz w:val="20"/>
                <w:lang w:val="hr-BA" w:eastAsia="en-US"/>
              </w:rPr>
              <w:t>.</w:t>
            </w:r>
            <w:r w:rsidR="00A81E06">
              <w:rPr>
                <w:sz w:val="20"/>
                <w:lang w:val="hr-BA" w:eastAsia="en-US"/>
              </w:rPr>
              <w:t>1</w:t>
            </w:r>
            <w:r w:rsidR="00B96358">
              <w:rPr>
                <w:sz w:val="20"/>
                <w:lang w:val="hr-BA" w:eastAsia="en-US"/>
              </w:rPr>
              <w:t>1</w:t>
            </w:r>
            <w:r w:rsidR="003B09E4" w:rsidRPr="00A22888">
              <w:rPr>
                <w:sz w:val="20"/>
                <w:lang w:val="hr-BA" w:eastAsia="en-US"/>
              </w:rPr>
              <w:t>.202</w:t>
            </w:r>
            <w:r w:rsidR="00A3133D" w:rsidRPr="00A22888">
              <w:rPr>
                <w:sz w:val="20"/>
                <w:lang w:val="hr-BA" w:eastAsia="en-US"/>
              </w:rPr>
              <w:t>4</w:t>
            </w:r>
            <w:r w:rsidR="00A66A34" w:rsidRPr="00A22888">
              <w:rPr>
                <w:sz w:val="20"/>
                <w:lang w:val="hr-BA" w:eastAsia="en-US"/>
              </w:rPr>
              <w:t xml:space="preserve">.godine u </w:t>
            </w:r>
            <w:r w:rsidR="00D91265" w:rsidRPr="00A22888">
              <w:rPr>
                <w:sz w:val="20"/>
                <w:lang w:val="hr-BA" w:eastAsia="en-US"/>
              </w:rPr>
              <w:t>12</w:t>
            </w:r>
            <w:r w:rsidR="00A66A34" w:rsidRPr="00A22888">
              <w:rPr>
                <w:sz w:val="20"/>
                <w:lang w:val="hr-BA" w:eastAsia="en-US"/>
              </w:rPr>
              <w:t xml:space="preserve">,00 sati, </w:t>
            </w:r>
            <w:r w:rsidR="001B07DB" w:rsidRPr="00A22888">
              <w:rPr>
                <w:sz w:val="20"/>
                <w:lang w:val="hr-BA" w:eastAsia="en-US"/>
              </w:rPr>
              <w:t>u prostorijama Regionalnog centra</w:t>
            </w:r>
            <w:r w:rsidR="000558CA" w:rsidRPr="00A22888">
              <w:rPr>
                <w:sz w:val="20"/>
              </w:rPr>
              <w:t xml:space="preserve"> </w:t>
            </w:r>
            <w:r w:rsidR="000558CA" w:rsidRPr="00A22888">
              <w:rPr>
                <w:sz w:val="20"/>
                <w:lang w:val="hr-BA" w:eastAsia="en-US"/>
              </w:rPr>
              <w:t>Sarajevo Ul. Zmaja od Bosne, broj 47b, u Sarajevu.</w:t>
            </w:r>
            <w:r w:rsidR="000558CA" w:rsidRPr="00A22888">
              <w:rPr>
                <w:sz w:val="20"/>
              </w:rPr>
              <w:t xml:space="preserve"> </w:t>
            </w:r>
            <w:r w:rsidR="00980CC3" w:rsidRPr="00A22888">
              <w:rPr>
                <w:sz w:val="20"/>
                <w:lang w:val="bs-Latn-BA"/>
              </w:rPr>
              <w:t>D</w:t>
            </w:r>
            <w:r w:rsidRPr="00A22888">
              <w:rPr>
                <w:sz w:val="20"/>
                <w:lang w:val="hr-BA"/>
              </w:rPr>
              <w:t>rektna prodaja se vrši zbog neuspjele  Javne aukcije.</w:t>
            </w:r>
            <w:r w:rsidR="00980CC3" w:rsidRPr="00A22888">
              <w:rPr>
                <w:sz w:val="20"/>
                <w:lang w:val="hr-BA"/>
              </w:rPr>
              <w:t xml:space="preserve"> </w:t>
            </w:r>
            <w:r w:rsidR="001D6DE2" w:rsidRPr="00A22888">
              <w:rPr>
                <w:sz w:val="20"/>
                <w:lang w:val="hr-BA" w:eastAsia="en-US"/>
              </w:rPr>
              <w:t xml:space="preserve">Razgledanje imovine </w:t>
            </w:r>
            <w:r w:rsidR="000558CA" w:rsidRPr="00A22888">
              <w:rPr>
                <w:sz w:val="20"/>
                <w:lang w:val="hr-BA" w:eastAsia="en-US"/>
              </w:rPr>
              <w:t xml:space="preserve">može se izvršiti </w:t>
            </w:r>
            <w:r w:rsidR="00F53171" w:rsidRPr="00A22888">
              <w:rPr>
                <w:sz w:val="20"/>
                <w:lang w:val="hr-BA" w:eastAsia="en-US"/>
              </w:rPr>
              <w:t>dana</w:t>
            </w:r>
            <w:r w:rsidR="00A81E06">
              <w:rPr>
                <w:sz w:val="20"/>
                <w:lang w:val="hr-BA" w:eastAsia="en-US"/>
              </w:rPr>
              <w:t xml:space="preserve"> 1</w:t>
            </w:r>
            <w:r w:rsidR="008406B1">
              <w:rPr>
                <w:sz w:val="20"/>
                <w:lang w:val="hr-BA" w:eastAsia="en-US"/>
              </w:rPr>
              <w:t>8</w:t>
            </w:r>
            <w:r w:rsidR="00F53171" w:rsidRPr="00A22888">
              <w:rPr>
                <w:sz w:val="20"/>
                <w:lang w:val="hr-BA" w:eastAsia="en-US"/>
              </w:rPr>
              <w:t>.</w:t>
            </w:r>
            <w:r w:rsidR="00D45188">
              <w:rPr>
                <w:sz w:val="20"/>
                <w:lang w:val="hr-BA" w:eastAsia="en-US"/>
              </w:rPr>
              <w:t>1</w:t>
            </w:r>
            <w:r w:rsidR="008406B1">
              <w:rPr>
                <w:sz w:val="20"/>
                <w:lang w:val="hr-BA" w:eastAsia="en-US"/>
              </w:rPr>
              <w:t>1</w:t>
            </w:r>
            <w:r w:rsidR="00F53171" w:rsidRPr="00A22888">
              <w:rPr>
                <w:sz w:val="20"/>
                <w:lang w:val="hr-BA" w:eastAsia="en-US"/>
              </w:rPr>
              <w:t>.2024.godine  u  11,00 ča</w:t>
            </w:r>
            <w:r w:rsidR="00D45188">
              <w:rPr>
                <w:sz w:val="20"/>
                <w:lang w:val="hr-BA" w:eastAsia="en-US"/>
              </w:rPr>
              <w:t>s</w:t>
            </w:r>
            <w:r w:rsidR="00F53171" w:rsidRPr="00A22888">
              <w:rPr>
                <w:sz w:val="20"/>
                <w:lang w:val="hr-BA" w:eastAsia="en-US"/>
              </w:rPr>
              <w:t xml:space="preserve">ova </w:t>
            </w:r>
            <w:r w:rsidR="000558CA" w:rsidRPr="00A22888">
              <w:rPr>
                <w:sz w:val="20"/>
                <w:lang w:val="hr-BA" w:eastAsia="en-US"/>
              </w:rPr>
              <w:t xml:space="preserve">na adresi  </w:t>
            </w:r>
            <w:r w:rsidR="00D45188">
              <w:rPr>
                <w:sz w:val="20"/>
                <w:lang w:val="hr-BA" w:eastAsia="en-US"/>
              </w:rPr>
              <w:t xml:space="preserve">Ul.Braće </w:t>
            </w:r>
            <w:r w:rsidR="00C55596">
              <w:rPr>
                <w:sz w:val="20"/>
                <w:lang w:val="hr-BA" w:eastAsia="en-US"/>
              </w:rPr>
              <w:t xml:space="preserve">Mulić </w:t>
            </w:r>
            <w:r w:rsidR="00D45188">
              <w:rPr>
                <w:sz w:val="20"/>
                <w:lang w:val="hr-BA" w:eastAsia="en-US"/>
              </w:rPr>
              <w:t>1</w:t>
            </w:r>
            <w:r w:rsidR="00F5369D">
              <w:rPr>
                <w:sz w:val="20"/>
                <w:lang w:val="hr-BA" w:eastAsia="en-US"/>
              </w:rPr>
              <w:t xml:space="preserve"> Sarajevo</w:t>
            </w:r>
            <w:r w:rsidR="00AA4D78" w:rsidRPr="00A22888">
              <w:rPr>
                <w:sz w:val="20"/>
                <w:lang w:val="hr-BA" w:eastAsia="en-US"/>
              </w:rPr>
              <w:t>.</w:t>
            </w:r>
          </w:p>
        </w:tc>
      </w:tr>
      <w:tr w:rsidR="00A66A34" w:rsidRPr="00A22888" w:rsidTr="007D6552">
        <w:trPr>
          <w:gridBefore w:val="2"/>
          <w:wBefore w:w="317" w:type="dxa"/>
          <w:trHeight w:val="264"/>
        </w:trPr>
        <w:tc>
          <w:tcPr>
            <w:tcW w:w="9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44" w:rsidRPr="00A22888" w:rsidRDefault="0078794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AA4D78" w:rsidRPr="00A22888" w:rsidRDefault="00F5369D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  <w:r>
              <w:rPr>
                <w:sz w:val="20"/>
                <w:lang w:val="hr-BA" w:eastAsia="en-US"/>
              </w:rPr>
              <w:t>Predmet prodaje:</w:t>
            </w:r>
          </w:p>
          <w:p w:rsidR="00E15E20" w:rsidRPr="00E15E20" w:rsidRDefault="00E15E20" w:rsidP="00E15E20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  <w:r w:rsidRPr="00E15E20">
              <w:rPr>
                <w:sz w:val="20"/>
                <w:lang w:val="hr-BA" w:eastAsia="en-US"/>
              </w:rPr>
              <w:t xml:space="preserve">Marka vozila: Mercedes Benz, Tip vozila: ML 320 CDI, Broj šasije: 4JGBB22E78A352548 </w:t>
            </w:r>
          </w:p>
          <w:p w:rsidR="00E15E20" w:rsidRPr="00E15E20" w:rsidRDefault="00E15E20" w:rsidP="00E15E20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  <w:r w:rsidRPr="00E15E20">
              <w:rPr>
                <w:sz w:val="20"/>
                <w:lang w:val="hr-BA" w:eastAsia="en-US"/>
              </w:rPr>
              <w:t>godina proizvodnje: 2008, radna zapremina: 2987 ccm, snaga: 165 KW, boja metalik siva.</w:t>
            </w:r>
          </w:p>
          <w:p w:rsidR="00A22888" w:rsidRPr="00A22888" w:rsidRDefault="00A22888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AA7B3F" w:rsidRDefault="005076B0" w:rsidP="00162DCA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 xml:space="preserve">                                                       </w:t>
            </w:r>
            <w:r w:rsidR="00D56E6C" w:rsidRPr="00A22888">
              <w:rPr>
                <w:sz w:val="20"/>
                <w:lang w:val="hr-BA" w:eastAsia="en-US"/>
              </w:rPr>
              <w:t xml:space="preserve"> </w:t>
            </w:r>
            <w:r w:rsidR="00D56E6C" w:rsidRPr="00A22888">
              <w:rPr>
                <w:b/>
                <w:sz w:val="20"/>
                <w:u w:val="single"/>
                <w:lang w:val="hr-BA" w:eastAsia="en-US"/>
              </w:rPr>
              <w:t>USLOVI UČEŠĆA I PRODAJE</w:t>
            </w:r>
          </w:p>
          <w:p w:rsidR="00AA7B3F" w:rsidRPr="00A22888" w:rsidRDefault="00AA7B3F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  <w:p w:rsidR="003C0AA7" w:rsidRPr="00A22888" w:rsidRDefault="003C0AA7" w:rsidP="00A81E06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 xml:space="preserve">Ponude se dostavljaju u zatvorenim kovertama najmanje 24 sata prije vršenja direktne prodaje, uz jasno navođenje imovine koja je predmet prodaje, kao i ponuđene cijene.Ponude dostaviti lično na protokol Regionalnog centra Sarajevo , ili putem pošte na adresu: Regionalni centar Sarajevo, Grupa za prinudnu naplatu, Zmaja od Bosne 47 b ,sa naznakom „PONUDA ZA KUPOVINU NA DIREKTNOJ PRODAJI – </w:t>
            </w:r>
            <w:r w:rsidR="007D6552">
              <w:rPr>
                <w:sz w:val="20"/>
                <w:lang w:val="hr-BA" w:eastAsia="en-US"/>
              </w:rPr>
              <w:t xml:space="preserve"> </w:t>
            </w:r>
            <w:r w:rsidRPr="00A22888">
              <w:rPr>
                <w:sz w:val="20"/>
                <w:lang w:val="hr-BA" w:eastAsia="en-US"/>
              </w:rPr>
              <w:t>NE OTVARATI“, zakazanoj za</w:t>
            </w:r>
            <w:r w:rsidR="007D6552">
              <w:rPr>
                <w:sz w:val="20"/>
                <w:lang w:val="hr-BA" w:eastAsia="en-US"/>
              </w:rPr>
              <w:t xml:space="preserve"> </w:t>
            </w:r>
            <w:r w:rsidRPr="00A22888">
              <w:rPr>
                <w:sz w:val="20"/>
                <w:lang w:val="hr-BA" w:eastAsia="en-US"/>
              </w:rPr>
              <w:t xml:space="preserve"> </w:t>
            </w:r>
            <w:r w:rsidR="00E15E20">
              <w:rPr>
                <w:sz w:val="20"/>
                <w:lang w:val="hr-BA" w:eastAsia="en-US"/>
              </w:rPr>
              <w:t>20</w:t>
            </w:r>
            <w:r w:rsidRPr="00A22888">
              <w:rPr>
                <w:sz w:val="20"/>
                <w:lang w:val="hr-BA" w:eastAsia="en-US"/>
              </w:rPr>
              <w:t>.</w:t>
            </w:r>
            <w:r w:rsidR="00A81E06">
              <w:rPr>
                <w:sz w:val="20"/>
                <w:lang w:val="hr-BA" w:eastAsia="en-US"/>
              </w:rPr>
              <w:t>1</w:t>
            </w:r>
            <w:r w:rsidR="00B96358">
              <w:rPr>
                <w:sz w:val="20"/>
                <w:lang w:val="hr-BA" w:eastAsia="en-US"/>
              </w:rPr>
              <w:t>1</w:t>
            </w:r>
            <w:r w:rsidRPr="00A22888">
              <w:rPr>
                <w:sz w:val="20"/>
                <w:lang w:val="hr-BA" w:eastAsia="en-US"/>
              </w:rPr>
              <w:t>.202</w:t>
            </w:r>
            <w:r w:rsidR="00D2573F">
              <w:rPr>
                <w:sz w:val="20"/>
                <w:lang w:val="hr-BA" w:eastAsia="en-US"/>
              </w:rPr>
              <w:t>4</w:t>
            </w:r>
            <w:r w:rsidRPr="00A22888">
              <w:rPr>
                <w:sz w:val="20"/>
                <w:lang w:val="hr-BA" w:eastAsia="en-US"/>
              </w:rPr>
              <w:t>.godine.</w:t>
            </w:r>
          </w:p>
          <w:p w:rsidR="003C0AA7" w:rsidRPr="00A22888" w:rsidRDefault="003C0AA7" w:rsidP="003C0AA7">
            <w:pPr>
              <w:rPr>
                <w:sz w:val="20"/>
                <w:lang w:val="hr-BA" w:eastAsia="en-US"/>
              </w:rPr>
            </w:pP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U postupku direktne prodaje ne polaže se depozit.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Svi predmeti koji se nalaze pod jednim brojem LOT-a trebaju biti obuhvaćeni sa jednom ponudom. Pravo učešća imaju sva pravna i punoljetna fizička lica.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Lica zaposlena u bilo kojoj organizacionoj jedinici Uprave za indirektno oporezivanje, kao i njihovi srodnici do trećeg stepena krvnog srodstva ne mogu biti učesnici aukcije. Roba se prodaje u viđenom stanju, bez prava na naknadnu reklamaciju.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Ponuđači su dužni prije početka aukcije dokazati svoj identitet ličnom kartom ili pasošem, odnosno ovjerenoj punomoći o zastupanju ukoliko se radi o zastupnicima. U prisustvu svih  učesnika Odbor za prodaju će otvoriti  koverte  i  prodati imovinu licu sa najboljom ponudom.U slučaju da lice sa najboljom ponudom ne bude prisutno, uzima se  slijedeća najbolja ponuda .Ukoliko dva ili vše učesnika  ponude isti iznos,</w:t>
            </w:r>
            <w:r w:rsidR="00FF53B9" w:rsidRPr="00A22888">
              <w:rPr>
                <w:sz w:val="20"/>
                <w:lang w:val="hr-BA" w:eastAsia="en-US"/>
              </w:rPr>
              <w:t xml:space="preserve"> </w:t>
            </w:r>
            <w:r w:rsidRPr="00A22888">
              <w:rPr>
                <w:sz w:val="20"/>
                <w:lang w:val="hr-BA" w:eastAsia="en-US"/>
              </w:rPr>
              <w:t>Odbor će vršiti prodaju  imovine putem nadmetanja među licima  koja su dali ponudu sa istim iznosom. Kupac plaća cijenu odmah nakon okončanja  direktne prodaje ili u roku 24 sata od završetka postupka direktne prodaje.Sve obaveze za kupljenu robu/vozila (transport demontaža i sl.) preuzima kupac.</w:t>
            </w:r>
          </w:p>
          <w:p w:rsidR="003C0AA7" w:rsidRPr="00A22888" w:rsidRDefault="003C0AA7" w:rsidP="00617EEC">
            <w:pPr>
              <w:jc w:val="both"/>
              <w:rPr>
                <w:sz w:val="20"/>
                <w:lang w:val="hr-BA" w:eastAsia="en-US"/>
              </w:rPr>
            </w:pPr>
            <w:r w:rsidRPr="00A22888">
              <w:rPr>
                <w:sz w:val="20"/>
                <w:lang w:val="hr-BA" w:eastAsia="en-US"/>
              </w:rPr>
              <w:t>Detaljne informacije o održavanju aukcije, podacima o razgledanju i prodaji robe mogu se dobiti na telefon   033/ 246-051(Samir Torlaković).Fotografije robe mogu se pogledati na web stranici UIO(</w:t>
            </w:r>
            <w:hyperlink r:id="rId9" w:history="1">
              <w:r w:rsidRPr="00A22888">
                <w:rPr>
                  <w:sz w:val="20"/>
                </w:rPr>
                <w:t>www.uino.gov.ba</w:t>
              </w:r>
            </w:hyperlink>
            <w:r w:rsidRPr="00A22888">
              <w:rPr>
                <w:sz w:val="20"/>
                <w:lang w:val="hr-BA" w:eastAsia="en-US"/>
              </w:rPr>
              <w:t>).</w:t>
            </w:r>
          </w:p>
          <w:p w:rsidR="000558CA" w:rsidRPr="00A22888" w:rsidRDefault="000558CA" w:rsidP="00DE1AEE">
            <w:pPr>
              <w:tabs>
                <w:tab w:val="left" w:pos="426"/>
              </w:tabs>
              <w:jc w:val="both"/>
              <w:rPr>
                <w:sz w:val="20"/>
                <w:lang w:val="hr-BA" w:eastAsia="en-US"/>
              </w:rPr>
            </w:pPr>
          </w:p>
        </w:tc>
        <w:tc>
          <w:tcPr>
            <w:tcW w:w="48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A34" w:rsidRPr="00A22888" w:rsidRDefault="00A66A34" w:rsidP="00DE1AEE">
            <w:pPr>
              <w:tabs>
                <w:tab w:val="left" w:pos="426"/>
              </w:tabs>
              <w:rPr>
                <w:sz w:val="20"/>
                <w:lang w:val="hr-BA" w:eastAsia="en-US"/>
              </w:rPr>
            </w:pPr>
          </w:p>
        </w:tc>
      </w:tr>
    </w:tbl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</w:t>
      </w:r>
      <w:r w:rsidR="00352EFD" w:rsidRPr="00A22888">
        <w:rPr>
          <w:sz w:val="20"/>
          <w:lang w:val="hr-BA" w:eastAsia="en-US"/>
        </w:rPr>
        <w:t>Šef G</w:t>
      </w:r>
      <w:r w:rsidRPr="00A22888">
        <w:rPr>
          <w:sz w:val="20"/>
          <w:lang w:val="hr-BA" w:eastAsia="en-US"/>
        </w:rPr>
        <w:t>rupe za prinudnu naplatu</w:t>
      </w: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</w:t>
      </w:r>
    </w:p>
    <w:p w:rsidR="00454A8C" w:rsidRPr="00A22888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________________________</w:t>
      </w:r>
    </w:p>
    <w:p w:rsidR="0049556E" w:rsidRPr="000558CA" w:rsidRDefault="00454A8C" w:rsidP="00DE1AEE">
      <w:pPr>
        <w:tabs>
          <w:tab w:val="left" w:pos="426"/>
        </w:tabs>
        <w:rPr>
          <w:sz w:val="20"/>
          <w:lang w:val="hr-BA" w:eastAsia="en-US"/>
        </w:rPr>
      </w:pPr>
      <w:r w:rsidRPr="00A22888">
        <w:rPr>
          <w:sz w:val="20"/>
          <w:lang w:val="hr-BA" w:eastAsia="en-US"/>
        </w:rPr>
        <w:t xml:space="preserve">                                                                                                                               </w:t>
      </w:r>
      <w:r w:rsidR="004A0776" w:rsidRPr="00A22888">
        <w:rPr>
          <w:sz w:val="20"/>
          <w:lang w:val="hr-BA" w:eastAsia="en-US"/>
        </w:rPr>
        <w:t xml:space="preserve">  </w:t>
      </w:r>
      <w:r w:rsidRPr="00A22888">
        <w:rPr>
          <w:sz w:val="20"/>
          <w:lang w:val="hr-BA" w:eastAsia="en-US"/>
        </w:rPr>
        <w:t>Tarik Neki</w:t>
      </w:r>
      <w:r w:rsidR="00196FDA">
        <w:rPr>
          <w:sz w:val="20"/>
          <w:lang w:val="hr-BA" w:eastAsia="en-US"/>
        </w:rPr>
        <w:t>ć</w:t>
      </w:r>
    </w:p>
    <w:sectPr w:rsidR="0049556E" w:rsidRPr="000558CA" w:rsidSect="007B0BD2">
      <w:footerReference w:type="default" r:id="rId10"/>
      <w:pgSz w:w="11906" w:h="16838" w:code="9"/>
      <w:pgMar w:top="426" w:right="1608" w:bottom="72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3A" w:rsidRDefault="00E46D3A">
      <w:r>
        <w:separator/>
      </w:r>
    </w:p>
  </w:endnote>
  <w:endnote w:type="continuationSeparator" w:id="0">
    <w:p w:rsidR="00E46D3A" w:rsidRDefault="00E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5C" w:rsidRDefault="00FD015C">
    <w:pPr>
      <w:pStyle w:val="Footer"/>
      <w:pBdr>
        <w:bottom w:val="single" w:sz="12" w:space="1" w:color="auto"/>
      </w:pBdr>
      <w:rPr>
        <w:lang w:val="bs-Latn-BA"/>
      </w:rPr>
    </w:pPr>
  </w:p>
  <w:p w:rsidR="0086232B" w:rsidRPr="009422BA" w:rsidRDefault="0086232B" w:rsidP="0086232B">
    <w:pPr>
      <w:pStyle w:val="Footer"/>
      <w:pBdr>
        <w:top w:val="single" w:sz="4" w:space="0" w:color="auto"/>
      </w:pBdr>
      <w:jc w:val="center"/>
      <w:rPr>
        <w:sz w:val="20"/>
        <w:lang w:val="hr-HR"/>
      </w:rPr>
    </w:pPr>
    <w:r w:rsidRPr="009422BA">
      <w:rPr>
        <w:sz w:val="20"/>
        <w:lang w:val="hr-HR"/>
      </w:rPr>
      <w:t>Ul.</w:t>
    </w:r>
    <w:r>
      <w:rPr>
        <w:sz w:val="20"/>
        <w:lang w:val="hr-HR"/>
      </w:rPr>
      <w:t xml:space="preserve">Zmaja od Bosne 47 b, </w:t>
    </w:r>
    <w:r w:rsidRPr="009422BA">
      <w:rPr>
        <w:sz w:val="20"/>
        <w:lang w:val="hr-HR"/>
      </w:rPr>
      <w:t>71000 Sarajevo,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tel: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033/</w:t>
    </w:r>
    <w:r>
      <w:rPr>
        <w:sz w:val="20"/>
        <w:lang w:val="hr-HR"/>
      </w:rPr>
      <w:t>246-05</w:t>
    </w:r>
    <w:r w:rsidR="005D75D1">
      <w:rPr>
        <w:sz w:val="20"/>
        <w:lang w:val="hr-HR"/>
      </w:rPr>
      <w:t>7</w:t>
    </w:r>
    <w:r w:rsidRPr="009422BA">
      <w:rPr>
        <w:sz w:val="20"/>
        <w:lang w:val="hr-HR"/>
      </w:rPr>
      <w:t>,</w:t>
    </w:r>
    <w:r>
      <w:rPr>
        <w:sz w:val="20"/>
        <w:lang w:val="hr-HR"/>
      </w:rPr>
      <w:t xml:space="preserve"> </w:t>
    </w:r>
    <w:r w:rsidRPr="009422BA">
      <w:rPr>
        <w:sz w:val="20"/>
        <w:lang w:val="hr-HR"/>
      </w:rPr>
      <w:t>fax</w:t>
    </w:r>
    <w:r>
      <w:rPr>
        <w:sz w:val="20"/>
        <w:lang w:val="hr-HR"/>
      </w:rPr>
      <w:t>: 033/246-0</w:t>
    </w:r>
    <w:r w:rsidR="005D75D1">
      <w:rPr>
        <w:sz w:val="20"/>
        <w:lang w:val="hr-HR"/>
      </w:rPr>
      <w:t>49</w:t>
    </w:r>
  </w:p>
  <w:p w:rsidR="0086232B" w:rsidRDefault="0086232B" w:rsidP="0086232B">
    <w:pPr>
      <w:pStyle w:val="Footer"/>
      <w:jc w:val="center"/>
      <w:rPr>
        <w:lang w:val="hr-HR"/>
      </w:rPr>
    </w:pPr>
    <w:r w:rsidRPr="00B33233">
      <w:rPr>
        <w:sz w:val="20"/>
        <w:lang w:val="hr-HR"/>
      </w:rPr>
      <w:t>Ул. Змаја од Босне 47б, 71000 Сарајево, тел: 033/246-</w:t>
    </w:r>
    <w:r w:rsidR="005D75D1">
      <w:rPr>
        <w:sz w:val="20"/>
        <w:lang w:val="hr-HR"/>
      </w:rPr>
      <w:t>057</w:t>
    </w:r>
    <w:r w:rsidRPr="00B33233">
      <w:rPr>
        <w:sz w:val="20"/>
        <w:lang w:val="hr-HR"/>
      </w:rPr>
      <w:t>, факс: 033/246-</w:t>
    </w:r>
    <w:r w:rsidR="005D75D1">
      <w:rPr>
        <w:sz w:val="20"/>
        <w:lang w:val="hr-HR"/>
      </w:rPr>
      <w:t>049</w:t>
    </w:r>
  </w:p>
  <w:p w:rsidR="00FD015C" w:rsidRDefault="00FD015C">
    <w:pPr>
      <w:pStyle w:val="Footer"/>
      <w:rPr>
        <w:lang w:val="bs-Latn-BA"/>
      </w:rPr>
    </w:pPr>
  </w:p>
  <w:p w:rsidR="0086232B" w:rsidRDefault="0086232B">
    <w:pPr>
      <w:pStyle w:val="Footer"/>
      <w:rPr>
        <w:lang w:val="bs-Latn-BA"/>
      </w:rPr>
    </w:pPr>
  </w:p>
  <w:p w:rsidR="00FD015C" w:rsidRPr="007D7AED" w:rsidRDefault="00FD015C">
    <w:pPr>
      <w:pStyle w:val="Footer"/>
      <w:rPr>
        <w:lang w:val="bs-Latn-BA"/>
      </w:rPr>
    </w:pPr>
    <w:r>
      <w:rPr>
        <w:lang w:val="bs-Latn-BA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3A" w:rsidRDefault="00E46D3A">
      <w:r>
        <w:separator/>
      </w:r>
    </w:p>
  </w:footnote>
  <w:footnote w:type="continuationSeparator" w:id="0">
    <w:p w:rsidR="00E46D3A" w:rsidRDefault="00E4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B0B"/>
    <w:multiLevelType w:val="hybridMultilevel"/>
    <w:tmpl w:val="35FC8D84"/>
    <w:lvl w:ilvl="0" w:tplc="7A56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86861"/>
    <w:multiLevelType w:val="hybridMultilevel"/>
    <w:tmpl w:val="B9BCEB9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3569EB"/>
    <w:multiLevelType w:val="hybridMultilevel"/>
    <w:tmpl w:val="8116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FE"/>
    <w:multiLevelType w:val="multilevel"/>
    <w:tmpl w:val="7CCC1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3332DF"/>
    <w:multiLevelType w:val="hybridMultilevel"/>
    <w:tmpl w:val="6EAE63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422C"/>
    <w:multiLevelType w:val="hybridMultilevel"/>
    <w:tmpl w:val="CEC26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27404"/>
    <w:multiLevelType w:val="hybridMultilevel"/>
    <w:tmpl w:val="094E598E"/>
    <w:lvl w:ilvl="0" w:tplc="07161C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1807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52B3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510B6"/>
    <w:multiLevelType w:val="hybridMultilevel"/>
    <w:tmpl w:val="06C28A7E"/>
    <w:lvl w:ilvl="0" w:tplc="0D560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A1"/>
    <w:rsid w:val="00001881"/>
    <w:rsid w:val="00004BD7"/>
    <w:rsid w:val="000077AE"/>
    <w:rsid w:val="000137FE"/>
    <w:rsid w:val="00014E06"/>
    <w:rsid w:val="00015595"/>
    <w:rsid w:val="00015E95"/>
    <w:rsid w:val="00016B5F"/>
    <w:rsid w:val="00022EAA"/>
    <w:rsid w:val="0002578F"/>
    <w:rsid w:val="00027686"/>
    <w:rsid w:val="00030E9D"/>
    <w:rsid w:val="00051249"/>
    <w:rsid w:val="000521B3"/>
    <w:rsid w:val="00054B25"/>
    <w:rsid w:val="000558CA"/>
    <w:rsid w:val="00056C13"/>
    <w:rsid w:val="00062E86"/>
    <w:rsid w:val="0006514B"/>
    <w:rsid w:val="00074199"/>
    <w:rsid w:val="00083407"/>
    <w:rsid w:val="00086482"/>
    <w:rsid w:val="000910E8"/>
    <w:rsid w:val="00091115"/>
    <w:rsid w:val="00095C9C"/>
    <w:rsid w:val="00096837"/>
    <w:rsid w:val="00097DC7"/>
    <w:rsid w:val="000A46E6"/>
    <w:rsid w:val="000A6E9B"/>
    <w:rsid w:val="000A7947"/>
    <w:rsid w:val="000B0965"/>
    <w:rsid w:val="000B1A03"/>
    <w:rsid w:val="000C03BB"/>
    <w:rsid w:val="000C219C"/>
    <w:rsid w:val="000C458A"/>
    <w:rsid w:val="000C5381"/>
    <w:rsid w:val="000C6F11"/>
    <w:rsid w:val="000D4E82"/>
    <w:rsid w:val="000D51C8"/>
    <w:rsid w:val="000D6350"/>
    <w:rsid w:val="000D6987"/>
    <w:rsid w:val="000D6BC0"/>
    <w:rsid w:val="000E3825"/>
    <w:rsid w:val="000E447C"/>
    <w:rsid w:val="000E63F2"/>
    <w:rsid w:val="000F0174"/>
    <w:rsid w:val="000F4214"/>
    <w:rsid w:val="00102DB2"/>
    <w:rsid w:val="00103BCB"/>
    <w:rsid w:val="00103F03"/>
    <w:rsid w:val="00104F76"/>
    <w:rsid w:val="00105FDE"/>
    <w:rsid w:val="001066DC"/>
    <w:rsid w:val="00107376"/>
    <w:rsid w:val="00110A12"/>
    <w:rsid w:val="0011153F"/>
    <w:rsid w:val="00111772"/>
    <w:rsid w:val="00113DA6"/>
    <w:rsid w:val="00117807"/>
    <w:rsid w:val="00124964"/>
    <w:rsid w:val="00125091"/>
    <w:rsid w:val="00127666"/>
    <w:rsid w:val="00130F75"/>
    <w:rsid w:val="00131010"/>
    <w:rsid w:val="00131092"/>
    <w:rsid w:val="001353FE"/>
    <w:rsid w:val="0014052B"/>
    <w:rsid w:val="00140E0D"/>
    <w:rsid w:val="001437B7"/>
    <w:rsid w:val="00151F81"/>
    <w:rsid w:val="00152F23"/>
    <w:rsid w:val="00156DA5"/>
    <w:rsid w:val="00160B8B"/>
    <w:rsid w:val="0016143F"/>
    <w:rsid w:val="00162DCA"/>
    <w:rsid w:val="00166B72"/>
    <w:rsid w:val="00166FA8"/>
    <w:rsid w:val="00172FE6"/>
    <w:rsid w:val="001779C2"/>
    <w:rsid w:val="00180CD3"/>
    <w:rsid w:val="00181C7D"/>
    <w:rsid w:val="00181F8E"/>
    <w:rsid w:val="00185AAD"/>
    <w:rsid w:val="00186F93"/>
    <w:rsid w:val="00193A89"/>
    <w:rsid w:val="00196FDA"/>
    <w:rsid w:val="00197955"/>
    <w:rsid w:val="001B07DB"/>
    <w:rsid w:val="001B0F02"/>
    <w:rsid w:val="001C550C"/>
    <w:rsid w:val="001C5E3B"/>
    <w:rsid w:val="001C6F44"/>
    <w:rsid w:val="001D1D6E"/>
    <w:rsid w:val="001D6DE2"/>
    <w:rsid w:val="001F0898"/>
    <w:rsid w:val="001F3B9B"/>
    <w:rsid w:val="001F5097"/>
    <w:rsid w:val="001F6688"/>
    <w:rsid w:val="001F6D90"/>
    <w:rsid w:val="00204EB5"/>
    <w:rsid w:val="00206867"/>
    <w:rsid w:val="00207FC5"/>
    <w:rsid w:val="0021530C"/>
    <w:rsid w:val="002209A6"/>
    <w:rsid w:val="00222850"/>
    <w:rsid w:val="00223223"/>
    <w:rsid w:val="00225DC4"/>
    <w:rsid w:val="00231528"/>
    <w:rsid w:val="002336D3"/>
    <w:rsid w:val="002375C5"/>
    <w:rsid w:val="0025154C"/>
    <w:rsid w:val="002552FB"/>
    <w:rsid w:val="0025625A"/>
    <w:rsid w:val="002604F4"/>
    <w:rsid w:val="00264101"/>
    <w:rsid w:val="00264B80"/>
    <w:rsid w:val="002713C7"/>
    <w:rsid w:val="00273063"/>
    <w:rsid w:val="002769A1"/>
    <w:rsid w:val="00284491"/>
    <w:rsid w:val="0028789F"/>
    <w:rsid w:val="00291025"/>
    <w:rsid w:val="00291A2F"/>
    <w:rsid w:val="00294E44"/>
    <w:rsid w:val="00297A0E"/>
    <w:rsid w:val="002A0FCE"/>
    <w:rsid w:val="002A3094"/>
    <w:rsid w:val="002B0F1A"/>
    <w:rsid w:val="002B1CA8"/>
    <w:rsid w:val="002B3570"/>
    <w:rsid w:val="002C0A76"/>
    <w:rsid w:val="002C1504"/>
    <w:rsid w:val="002C698D"/>
    <w:rsid w:val="002C70A9"/>
    <w:rsid w:val="002D1D59"/>
    <w:rsid w:val="002D5241"/>
    <w:rsid w:val="002E12F7"/>
    <w:rsid w:val="002E4D61"/>
    <w:rsid w:val="002E56F7"/>
    <w:rsid w:val="002E68AC"/>
    <w:rsid w:val="002E7787"/>
    <w:rsid w:val="002F14DF"/>
    <w:rsid w:val="002F32F1"/>
    <w:rsid w:val="002F7F4E"/>
    <w:rsid w:val="0030731C"/>
    <w:rsid w:val="00322ED5"/>
    <w:rsid w:val="00326336"/>
    <w:rsid w:val="00331704"/>
    <w:rsid w:val="00331880"/>
    <w:rsid w:val="00332466"/>
    <w:rsid w:val="00332EA0"/>
    <w:rsid w:val="00334531"/>
    <w:rsid w:val="0033684F"/>
    <w:rsid w:val="00342654"/>
    <w:rsid w:val="00350868"/>
    <w:rsid w:val="00352EFD"/>
    <w:rsid w:val="00355B20"/>
    <w:rsid w:val="0035771A"/>
    <w:rsid w:val="00360C1B"/>
    <w:rsid w:val="00361BE9"/>
    <w:rsid w:val="00364B00"/>
    <w:rsid w:val="00370D81"/>
    <w:rsid w:val="00375ED2"/>
    <w:rsid w:val="00377B50"/>
    <w:rsid w:val="0038030D"/>
    <w:rsid w:val="0038359B"/>
    <w:rsid w:val="00391F42"/>
    <w:rsid w:val="00394625"/>
    <w:rsid w:val="00394991"/>
    <w:rsid w:val="00395AEA"/>
    <w:rsid w:val="00396113"/>
    <w:rsid w:val="003A0784"/>
    <w:rsid w:val="003A3B40"/>
    <w:rsid w:val="003A4EDB"/>
    <w:rsid w:val="003A4F1C"/>
    <w:rsid w:val="003A5D83"/>
    <w:rsid w:val="003A6231"/>
    <w:rsid w:val="003A764D"/>
    <w:rsid w:val="003B0460"/>
    <w:rsid w:val="003B09E4"/>
    <w:rsid w:val="003B0F7A"/>
    <w:rsid w:val="003B4CCE"/>
    <w:rsid w:val="003C05E6"/>
    <w:rsid w:val="003C0AA7"/>
    <w:rsid w:val="003C0B8B"/>
    <w:rsid w:val="003C2115"/>
    <w:rsid w:val="003C43A8"/>
    <w:rsid w:val="003C66F8"/>
    <w:rsid w:val="003C7DBE"/>
    <w:rsid w:val="003D367E"/>
    <w:rsid w:val="003D5783"/>
    <w:rsid w:val="003D62F7"/>
    <w:rsid w:val="003D71EC"/>
    <w:rsid w:val="003F1345"/>
    <w:rsid w:val="003F1CCE"/>
    <w:rsid w:val="004016DB"/>
    <w:rsid w:val="004027A2"/>
    <w:rsid w:val="00403331"/>
    <w:rsid w:val="0041197A"/>
    <w:rsid w:val="00414874"/>
    <w:rsid w:val="004151B7"/>
    <w:rsid w:val="00416CA8"/>
    <w:rsid w:val="00417F7D"/>
    <w:rsid w:val="004207AA"/>
    <w:rsid w:val="00421DDC"/>
    <w:rsid w:val="00425DA4"/>
    <w:rsid w:val="0042743D"/>
    <w:rsid w:val="00427F7D"/>
    <w:rsid w:val="004329C7"/>
    <w:rsid w:val="00441603"/>
    <w:rsid w:val="00444058"/>
    <w:rsid w:val="00447582"/>
    <w:rsid w:val="00454A8C"/>
    <w:rsid w:val="00461AB2"/>
    <w:rsid w:val="00463FF9"/>
    <w:rsid w:val="00464AB5"/>
    <w:rsid w:val="00466BA5"/>
    <w:rsid w:val="00470424"/>
    <w:rsid w:val="004708FE"/>
    <w:rsid w:val="00475320"/>
    <w:rsid w:val="00475C1F"/>
    <w:rsid w:val="00475C6A"/>
    <w:rsid w:val="00477019"/>
    <w:rsid w:val="004918CF"/>
    <w:rsid w:val="004931B6"/>
    <w:rsid w:val="00493474"/>
    <w:rsid w:val="0049556E"/>
    <w:rsid w:val="00496EE8"/>
    <w:rsid w:val="004978E3"/>
    <w:rsid w:val="00497C17"/>
    <w:rsid w:val="004A0776"/>
    <w:rsid w:val="004A0A53"/>
    <w:rsid w:val="004A6517"/>
    <w:rsid w:val="004A694D"/>
    <w:rsid w:val="004A6952"/>
    <w:rsid w:val="004B170F"/>
    <w:rsid w:val="004B2BB6"/>
    <w:rsid w:val="004B4047"/>
    <w:rsid w:val="004B622E"/>
    <w:rsid w:val="004B6EB7"/>
    <w:rsid w:val="004B7232"/>
    <w:rsid w:val="004B7CEC"/>
    <w:rsid w:val="004C6CED"/>
    <w:rsid w:val="004D1914"/>
    <w:rsid w:val="004D511F"/>
    <w:rsid w:val="004D51ED"/>
    <w:rsid w:val="004E0610"/>
    <w:rsid w:val="004E1E50"/>
    <w:rsid w:val="004E4F72"/>
    <w:rsid w:val="004E7389"/>
    <w:rsid w:val="004F14B9"/>
    <w:rsid w:val="004F173B"/>
    <w:rsid w:val="004F1B72"/>
    <w:rsid w:val="004F394D"/>
    <w:rsid w:val="00501048"/>
    <w:rsid w:val="0050201C"/>
    <w:rsid w:val="00503F31"/>
    <w:rsid w:val="0050691C"/>
    <w:rsid w:val="00506BC4"/>
    <w:rsid w:val="005076B0"/>
    <w:rsid w:val="00507B5E"/>
    <w:rsid w:val="00517313"/>
    <w:rsid w:val="00517909"/>
    <w:rsid w:val="005234CD"/>
    <w:rsid w:val="005238A7"/>
    <w:rsid w:val="00526A71"/>
    <w:rsid w:val="00533098"/>
    <w:rsid w:val="00533FE9"/>
    <w:rsid w:val="00535164"/>
    <w:rsid w:val="00547DC1"/>
    <w:rsid w:val="0055457C"/>
    <w:rsid w:val="005552D7"/>
    <w:rsid w:val="0056569F"/>
    <w:rsid w:val="00573057"/>
    <w:rsid w:val="0057395B"/>
    <w:rsid w:val="0057459D"/>
    <w:rsid w:val="0057675F"/>
    <w:rsid w:val="00576FD0"/>
    <w:rsid w:val="00576FF4"/>
    <w:rsid w:val="00577730"/>
    <w:rsid w:val="00577C5F"/>
    <w:rsid w:val="00581BE4"/>
    <w:rsid w:val="005876CE"/>
    <w:rsid w:val="005876F4"/>
    <w:rsid w:val="00587C02"/>
    <w:rsid w:val="00592A34"/>
    <w:rsid w:val="0059324E"/>
    <w:rsid w:val="005948B5"/>
    <w:rsid w:val="0059589F"/>
    <w:rsid w:val="005A6C31"/>
    <w:rsid w:val="005B0D1F"/>
    <w:rsid w:val="005B3CB8"/>
    <w:rsid w:val="005C1C80"/>
    <w:rsid w:val="005C52CE"/>
    <w:rsid w:val="005C609C"/>
    <w:rsid w:val="005C7157"/>
    <w:rsid w:val="005D2BAE"/>
    <w:rsid w:val="005D66D6"/>
    <w:rsid w:val="005D75D1"/>
    <w:rsid w:val="005E28E0"/>
    <w:rsid w:val="005E4262"/>
    <w:rsid w:val="005E6162"/>
    <w:rsid w:val="005E66CD"/>
    <w:rsid w:val="005F02B9"/>
    <w:rsid w:val="005F180B"/>
    <w:rsid w:val="005F1F79"/>
    <w:rsid w:val="005F69D9"/>
    <w:rsid w:val="00601160"/>
    <w:rsid w:val="006061EA"/>
    <w:rsid w:val="00607953"/>
    <w:rsid w:val="00613210"/>
    <w:rsid w:val="006152A8"/>
    <w:rsid w:val="006167F8"/>
    <w:rsid w:val="00617EEC"/>
    <w:rsid w:val="00621312"/>
    <w:rsid w:val="00622814"/>
    <w:rsid w:val="00625FD9"/>
    <w:rsid w:val="00626E78"/>
    <w:rsid w:val="0063128C"/>
    <w:rsid w:val="00632B54"/>
    <w:rsid w:val="00633C71"/>
    <w:rsid w:val="00634D32"/>
    <w:rsid w:val="006403AD"/>
    <w:rsid w:val="00646F18"/>
    <w:rsid w:val="0065246F"/>
    <w:rsid w:val="00654BBF"/>
    <w:rsid w:val="00655DAF"/>
    <w:rsid w:val="006560FB"/>
    <w:rsid w:val="006567B1"/>
    <w:rsid w:val="0065729E"/>
    <w:rsid w:val="006574A8"/>
    <w:rsid w:val="00660D67"/>
    <w:rsid w:val="00662B35"/>
    <w:rsid w:val="00666C88"/>
    <w:rsid w:val="006760AC"/>
    <w:rsid w:val="00681EF8"/>
    <w:rsid w:val="00682031"/>
    <w:rsid w:val="00683432"/>
    <w:rsid w:val="0069523B"/>
    <w:rsid w:val="006A04E6"/>
    <w:rsid w:val="006A5BD4"/>
    <w:rsid w:val="006A70FF"/>
    <w:rsid w:val="006B2835"/>
    <w:rsid w:val="006B2F4D"/>
    <w:rsid w:val="006B3EA3"/>
    <w:rsid w:val="006B6089"/>
    <w:rsid w:val="006C05F2"/>
    <w:rsid w:val="006C44FB"/>
    <w:rsid w:val="006C5B92"/>
    <w:rsid w:val="006D1F25"/>
    <w:rsid w:val="006D4935"/>
    <w:rsid w:val="006E13C3"/>
    <w:rsid w:val="006E1F97"/>
    <w:rsid w:val="006E4346"/>
    <w:rsid w:val="006E51DF"/>
    <w:rsid w:val="006E5B7C"/>
    <w:rsid w:val="006E6CC4"/>
    <w:rsid w:val="006F5F6A"/>
    <w:rsid w:val="006F74C5"/>
    <w:rsid w:val="0070103F"/>
    <w:rsid w:val="007029C3"/>
    <w:rsid w:val="00702DDD"/>
    <w:rsid w:val="00705E6C"/>
    <w:rsid w:val="00707949"/>
    <w:rsid w:val="00710F9E"/>
    <w:rsid w:val="00712741"/>
    <w:rsid w:val="00715BA3"/>
    <w:rsid w:val="007165AC"/>
    <w:rsid w:val="0072244A"/>
    <w:rsid w:val="00723090"/>
    <w:rsid w:val="0072356F"/>
    <w:rsid w:val="0072374F"/>
    <w:rsid w:val="007244C2"/>
    <w:rsid w:val="00725A33"/>
    <w:rsid w:val="0073303B"/>
    <w:rsid w:val="00734EAC"/>
    <w:rsid w:val="00745E03"/>
    <w:rsid w:val="0075655F"/>
    <w:rsid w:val="00761F19"/>
    <w:rsid w:val="007744AE"/>
    <w:rsid w:val="00774BAA"/>
    <w:rsid w:val="0077639C"/>
    <w:rsid w:val="00777360"/>
    <w:rsid w:val="007801C1"/>
    <w:rsid w:val="00780A51"/>
    <w:rsid w:val="007843D4"/>
    <w:rsid w:val="00784795"/>
    <w:rsid w:val="00786208"/>
    <w:rsid w:val="00787944"/>
    <w:rsid w:val="007927BD"/>
    <w:rsid w:val="00793D43"/>
    <w:rsid w:val="00796432"/>
    <w:rsid w:val="00797E20"/>
    <w:rsid w:val="007A052C"/>
    <w:rsid w:val="007A5D1E"/>
    <w:rsid w:val="007A6A48"/>
    <w:rsid w:val="007A7BFF"/>
    <w:rsid w:val="007B0BD2"/>
    <w:rsid w:val="007B197B"/>
    <w:rsid w:val="007C0B29"/>
    <w:rsid w:val="007C1CE0"/>
    <w:rsid w:val="007C3448"/>
    <w:rsid w:val="007D1AD0"/>
    <w:rsid w:val="007D35FC"/>
    <w:rsid w:val="007D4531"/>
    <w:rsid w:val="007D6552"/>
    <w:rsid w:val="007D6B2A"/>
    <w:rsid w:val="007D7AED"/>
    <w:rsid w:val="007E00EA"/>
    <w:rsid w:val="007E2251"/>
    <w:rsid w:val="007F30FC"/>
    <w:rsid w:val="007F4CB6"/>
    <w:rsid w:val="007F5E9A"/>
    <w:rsid w:val="007F7AF6"/>
    <w:rsid w:val="00801994"/>
    <w:rsid w:val="0080453A"/>
    <w:rsid w:val="0081113A"/>
    <w:rsid w:val="00811357"/>
    <w:rsid w:val="00811499"/>
    <w:rsid w:val="00811E06"/>
    <w:rsid w:val="0082672A"/>
    <w:rsid w:val="008406B1"/>
    <w:rsid w:val="00842E24"/>
    <w:rsid w:val="0085425B"/>
    <w:rsid w:val="008556BE"/>
    <w:rsid w:val="0085615E"/>
    <w:rsid w:val="008563B2"/>
    <w:rsid w:val="00860B91"/>
    <w:rsid w:val="0086232B"/>
    <w:rsid w:val="00863706"/>
    <w:rsid w:val="008643F3"/>
    <w:rsid w:val="0086642D"/>
    <w:rsid w:val="008705FB"/>
    <w:rsid w:val="00870E61"/>
    <w:rsid w:val="00873D26"/>
    <w:rsid w:val="0087682B"/>
    <w:rsid w:val="0088290C"/>
    <w:rsid w:val="00883994"/>
    <w:rsid w:val="008917F4"/>
    <w:rsid w:val="008934F2"/>
    <w:rsid w:val="00897272"/>
    <w:rsid w:val="008979D4"/>
    <w:rsid w:val="008A259D"/>
    <w:rsid w:val="008A6543"/>
    <w:rsid w:val="008A7DC8"/>
    <w:rsid w:val="008B40D8"/>
    <w:rsid w:val="008C0226"/>
    <w:rsid w:val="008C432E"/>
    <w:rsid w:val="008D0147"/>
    <w:rsid w:val="008D370E"/>
    <w:rsid w:val="008D55A1"/>
    <w:rsid w:val="008D6133"/>
    <w:rsid w:val="008D6654"/>
    <w:rsid w:val="008D71EF"/>
    <w:rsid w:val="008D79F8"/>
    <w:rsid w:val="008E1EA3"/>
    <w:rsid w:val="008E22AD"/>
    <w:rsid w:val="008E4544"/>
    <w:rsid w:val="008F1FA3"/>
    <w:rsid w:val="008F69F2"/>
    <w:rsid w:val="009005AD"/>
    <w:rsid w:val="00903007"/>
    <w:rsid w:val="0090374D"/>
    <w:rsid w:val="00904EC4"/>
    <w:rsid w:val="009053D1"/>
    <w:rsid w:val="00910BC0"/>
    <w:rsid w:val="00911693"/>
    <w:rsid w:val="0091383D"/>
    <w:rsid w:val="00915E89"/>
    <w:rsid w:val="00923799"/>
    <w:rsid w:val="009345BF"/>
    <w:rsid w:val="00934CA9"/>
    <w:rsid w:val="0094361E"/>
    <w:rsid w:val="009460A4"/>
    <w:rsid w:val="009568A6"/>
    <w:rsid w:val="00956BE3"/>
    <w:rsid w:val="00960BAF"/>
    <w:rsid w:val="00964654"/>
    <w:rsid w:val="00965DF0"/>
    <w:rsid w:val="00966B32"/>
    <w:rsid w:val="009674BD"/>
    <w:rsid w:val="00973D86"/>
    <w:rsid w:val="00976BB3"/>
    <w:rsid w:val="00980CC3"/>
    <w:rsid w:val="009840C2"/>
    <w:rsid w:val="00984B84"/>
    <w:rsid w:val="00987A83"/>
    <w:rsid w:val="009953DF"/>
    <w:rsid w:val="00995999"/>
    <w:rsid w:val="009A4700"/>
    <w:rsid w:val="009A65A0"/>
    <w:rsid w:val="009C0385"/>
    <w:rsid w:val="009C2319"/>
    <w:rsid w:val="009C65F2"/>
    <w:rsid w:val="009E0C42"/>
    <w:rsid w:val="009E244F"/>
    <w:rsid w:val="009E27C2"/>
    <w:rsid w:val="009E2943"/>
    <w:rsid w:val="009E4B38"/>
    <w:rsid w:val="009F0939"/>
    <w:rsid w:val="009F1990"/>
    <w:rsid w:val="009F2156"/>
    <w:rsid w:val="009F44E0"/>
    <w:rsid w:val="009F4E03"/>
    <w:rsid w:val="009F59DB"/>
    <w:rsid w:val="009F5F59"/>
    <w:rsid w:val="00A042DB"/>
    <w:rsid w:val="00A07073"/>
    <w:rsid w:val="00A11B7B"/>
    <w:rsid w:val="00A12279"/>
    <w:rsid w:val="00A17FBD"/>
    <w:rsid w:val="00A21696"/>
    <w:rsid w:val="00A21AAF"/>
    <w:rsid w:val="00A22888"/>
    <w:rsid w:val="00A24A50"/>
    <w:rsid w:val="00A3133D"/>
    <w:rsid w:val="00A32A00"/>
    <w:rsid w:val="00A33718"/>
    <w:rsid w:val="00A357C4"/>
    <w:rsid w:val="00A41405"/>
    <w:rsid w:val="00A46F9E"/>
    <w:rsid w:val="00A47A37"/>
    <w:rsid w:val="00A50C34"/>
    <w:rsid w:val="00A54A9A"/>
    <w:rsid w:val="00A550D1"/>
    <w:rsid w:val="00A5748B"/>
    <w:rsid w:val="00A66A34"/>
    <w:rsid w:val="00A66BFC"/>
    <w:rsid w:val="00A71174"/>
    <w:rsid w:val="00A755C3"/>
    <w:rsid w:val="00A81AD0"/>
    <w:rsid w:val="00A81E06"/>
    <w:rsid w:val="00A94F11"/>
    <w:rsid w:val="00AA0562"/>
    <w:rsid w:val="00AA4815"/>
    <w:rsid w:val="00AA4D78"/>
    <w:rsid w:val="00AA7B3F"/>
    <w:rsid w:val="00AB2A8A"/>
    <w:rsid w:val="00AB503E"/>
    <w:rsid w:val="00AB5F43"/>
    <w:rsid w:val="00AB7383"/>
    <w:rsid w:val="00AC182E"/>
    <w:rsid w:val="00AC450D"/>
    <w:rsid w:val="00AC49B1"/>
    <w:rsid w:val="00AC6B8B"/>
    <w:rsid w:val="00AC7628"/>
    <w:rsid w:val="00AD6BBD"/>
    <w:rsid w:val="00AF1EC8"/>
    <w:rsid w:val="00B02E05"/>
    <w:rsid w:val="00B02E73"/>
    <w:rsid w:val="00B03556"/>
    <w:rsid w:val="00B07B0D"/>
    <w:rsid w:val="00B13BDC"/>
    <w:rsid w:val="00B1624F"/>
    <w:rsid w:val="00B2314A"/>
    <w:rsid w:val="00B27834"/>
    <w:rsid w:val="00B33F86"/>
    <w:rsid w:val="00B40A99"/>
    <w:rsid w:val="00B44AF8"/>
    <w:rsid w:val="00B461B3"/>
    <w:rsid w:val="00B62884"/>
    <w:rsid w:val="00B65E17"/>
    <w:rsid w:val="00B71528"/>
    <w:rsid w:val="00B75C72"/>
    <w:rsid w:val="00B76F22"/>
    <w:rsid w:val="00B7739E"/>
    <w:rsid w:val="00B7766A"/>
    <w:rsid w:val="00B776A5"/>
    <w:rsid w:val="00B802C3"/>
    <w:rsid w:val="00B808AB"/>
    <w:rsid w:val="00B81E30"/>
    <w:rsid w:val="00B81F83"/>
    <w:rsid w:val="00B84702"/>
    <w:rsid w:val="00B851B7"/>
    <w:rsid w:val="00B878FA"/>
    <w:rsid w:val="00B91786"/>
    <w:rsid w:val="00B94ED8"/>
    <w:rsid w:val="00B96358"/>
    <w:rsid w:val="00B97BE4"/>
    <w:rsid w:val="00BA1880"/>
    <w:rsid w:val="00BA2F88"/>
    <w:rsid w:val="00BA38E9"/>
    <w:rsid w:val="00BA5597"/>
    <w:rsid w:val="00BA67B0"/>
    <w:rsid w:val="00BA6FE2"/>
    <w:rsid w:val="00BB2172"/>
    <w:rsid w:val="00BB3BDD"/>
    <w:rsid w:val="00BB744D"/>
    <w:rsid w:val="00BB762C"/>
    <w:rsid w:val="00BC1BB2"/>
    <w:rsid w:val="00BC22BD"/>
    <w:rsid w:val="00BD076A"/>
    <w:rsid w:val="00BD0E9A"/>
    <w:rsid w:val="00BD0F05"/>
    <w:rsid w:val="00BD1248"/>
    <w:rsid w:val="00BD3CA4"/>
    <w:rsid w:val="00BD4968"/>
    <w:rsid w:val="00BD515A"/>
    <w:rsid w:val="00BD5B84"/>
    <w:rsid w:val="00BE0779"/>
    <w:rsid w:val="00BE124C"/>
    <w:rsid w:val="00BE7177"/>
    <w:rsid w:val="00BF0E7C"/>
    <w:rsid w:val="00BF53D0"/>
    <w:rsid w:val="00C0012D"/>
    <w:rsid w:val="00C002B9"/>
    <w:rsid w:val="00C068C6"/>
    <w:rsid w:val="00C07ED6"/>
    <w:rsid w:val="00C102CA"/>
    <w:rsid w:val="00C12D2D"/>
    <w:rsid w:val="00C13B00"/>
    <w:rsid w:val="00C17B24"/>
    <w:rsid w:val="00C21584"/>
    <w:rsid w:val="00C21838"/>
    <w:rsid w:val="00C231F6"/>
    <w:rsid w:val="00C3464F"/>
    <w:rsid w:val="00C365B7"/>
    <w:rsid w:val="00C433FF"/>
    <w:rsid w:val="00C55596"/>
    <w:rsid w:val="00C55796"/>
    <w:rsid w:val="00C6326F"/>
    <w:rsid w:val="00C66F16"/>
    <w:rsid w:val="00C7278C"/>
    <w:rsid w:val="00C80A97"/>
    <w:rsid w:val="00C812A3"/>
    <w:rsid w:val="00C829D5"/>
    <w:rsid w:val="00C85F6E"/>
    <w:rsid w:val="00C86895"/>
    <w:rsid w:val="00C87E94"/>
    <w:rsid w:val="00C93339"/>
    <w:rsid w:val="00CA169C"/>
    <w:rsid w:val="00CA38F4"/>
    <w:rsid w:val="00CB0DF5"/>
    <w:rsid w:val="00CB20E4"/>
    <w:rsid w:val="00CB2E49"/>
    <w:rsid w:val="00CB370D"/>
    <w:rsid w:val="00CB4B30"/>
    <w:rsid w:val="00CB585D"/>
    <w:rsid w:val="00CB5883"/>
    <w:rsid w:val="00CC042E"/>
    <w:rsid w:val="00CC0CC8"/>
    <w:rsid w:val="00CC142E"/>
    <w:rsid w:val="00CC1DE0"/>
    <w:rsid w:val="00CC26C4"/>
    <w:rsid w:val="00CC3C18"/>
    <w:rsid w:val="00CD28BE"/>
    <w:rsid w:val="00CD4813"/>
    <w:rsid w:val="00CE1D3A"/>
    <w:rsid w:val="00CE343B"/>
    <w:rsid w:val="00CE4CCB"/>
    <w:rsid w:val="00CE5C68"/>
    <w:rsid w:val="00CE6E53"/>
    <w:rsid w:val="00CF701C"/>
    <w:rsid w:val="00D0098E"/>
    <w:rsid w:val="00D025F0"/>
    <w:rsid w:val="00D1133B"/>
    <w:rsid w:val="00D15521"/>
    <w:rsid w:val="00D16379"/>
    <w:rsid w:val="00D20410"/>
    <w:rsid w:val="00D2573F"/>
    <w:rsid w:val="00D276E3"/>
    <w:rsid w:val="00D3132F"/>
    <w:rsid w:val="00D313BB"/>
    <w:rsid w:val="00D315E1"/>
    <w:rsid w:val="00D31BF9"/>
    <w:rsid w:val="00D31FB3"/>
    <w:rsid w:val="00D35AE2"/>
    <w:rsid w:val="00D41453"/>
    <w:rsid w:val="00D45188"/>
    <w:rsid w:val="00D4564A"/>
    <w:rsid w:val="00D52B0D"/>
    <w:rsid w:val="00D53A18"/>
    <w:rsid w:val="00D551F4"/>
    <w:rsid w:val="00D560C4"/>
    <w:rsid w:val="00D56CF1"/>
    <w:rsid w:val="00D56E6C"/>
    <w:rsid w:val="00D625ED"/>
    <w:rsid w:val="00D653A1"/>
    <w:rsid w:val="00D6541D"/>
    <w:rsid w:val="00D74276"/>
    <w:rsid w:val="00D86CD6"/>
    <w:rsid w:val="00D91265"/>
    <w:rsid w:val="00D94923"/>
    <w:rsid w:val="00D97663"/>
    <w:rsid w:val="00DA036A"/>
    <w:rsid w:val="00DA3B13"/>
    <w:rsid w:val="00DA3D07"/>
    <w:rsid w:val="00DA698D"/>
    <w:rsid w:val="00DA6A1A"/>
    <w:rsid w:val="00DB0DA9"/>
    <w:rsid w:val="00DB4639"/>
    <w:rsid w:val="00DB6A6E"/>
    <w:rsid w:val="00DC53D3"/>
    <w:rsid w:val="00DD03F6"/>
    <w:rsid w:val="00DD092C"/>
    <w:rsid w:val="00DE1AEE"/>
    <w:rsid w:val="00DE287D"/>
    <w:rsid w:val="00DE6B4E"/>
    <w:rsid w:val="00DF4137"/>
    <w:rsid w:val="00DF79A5"/>
    <w:rsid w:val="00DF7AE0"/>
    <w:rsid w:val="00E01D3B"/>
    <w:rsid w:val="00E036D4"/>
    <w:rsid w:val="00E03A3C"/>
    <w:rsid w:val="00E05C81"/>
    <w:rsid w:val="00E15E20"/>
    <w:rsid w:val="00E2318F"/>
    <w:rsid w:val="00E24A8F"/>
    <w:rsid w:val="00E313A6"/>
    <w:rsid w:val="00E3142A"/>
    <w:rsid w:val="00E4087E"/>
    <w:rsid w:val="00E40E43"/>
    <w:rsid w:val="00E41A2A"/>
    <w:rsid w:val="00E429DD"/>
    <w:rsid w:val="00E45EF7"/>
    <w:rsid w:val="00E46D3A"/>
    <w:rsid w:val="00E46F42"/>
    <w:rsid w:val="00E47D1C"/>
    <w:rsid w:val="00E51399"/>
    <w:rsid w:val="00E51C7E"/>
    <w:rsid w:val="00E55EC4"/>
    <w:rsid w:val="00E6087E"/>
    <w:rsid w:val="00E6144C"/>
    <w:rsid w:val="00E618BF"/>
    <w:rsid w:val="00E64CDF"/>
    <w:rsid w:val="00E65BDE"/>
    <w:rsid w:val="00E7045E"/>
    <w:rsid w:val="00E800B2"/>
    <w:rsid w:val="00E814C1"/>
    <w:rsid w:val="00E8234C"/>
    <w:rsid w:val="00E826DB"/>
    <w:rsid w:val="00E842E8"/>
    <w:rsid w:val="00E85D4B"/>
    <w:rsid w:val="00E95A61"/>
    <w:rsid w:val="00E96924"/>
    <w:rsid w:val="00E97F67"/>
    <w:rsid w:val="00EA3DC6"/>
    <w:rsid w:val="00EA58CE"/>
    <w:rsid w:val="00EB0595"/>
    <w:rsid w:val="00EB0614"/>
    <w:rsid w:val="00EB5B0D"/>
    <w:rsid w:val="00EC04D4"/>
    <w:rsid w:val="00EC0D53"/>
    <w:rsid w:val="00EC0EDE"/>
    <w:rsid w:val="00EC14F7"/>
    <w:rsid w:val="00EC2024"/>
    <w:rsid w:val="00EC5B20"/>
    <w:rsid w:val="00EC696E"/>
    <w:rsid w:val="00ED1D95"/>
    <w:rsid w:val="00ED417C"/>
    <w:rsid w:val="00ED48E9"/>
    <w:rsid w:val="00ED7FCA"/>
    <w:rsid w:val="00EE52F9"/>
    <w:rsid w:val="00EF177B"/>
    <w:rsid w:val="00EF2D15"/>
    <w:rsid w:val="00EF3E53"/>
    <w:rsid w:val="00F00AE3"/>
    <w:rsid w:val="00F00FA1"/>
    <w:rsid w:val="00F055F0"/>
    <w:rsid w:val="00F057B1"/>
    <w:rsid w:val="00F1004A"/>
    <w:rsid w:val="00F160C5"/>
    <w:rsid w:val="00F1768D"/>
    <w:rsid w:val="00F22085"/>
    <w:rsid w:val="00F32D53"/>
    <w:rsid w:val="00F33433"/>
    <w:rsid w:val="00F33837"/>
    <w:rsid w:val="00F46C8F"/>
    <w:rsid w:val="00F53171"/>
    <w:rsid w:val="00F5369D"/>
    <w:rsid w:val="00F55054"/>
    <w:rsid w:val="00F55EDE"/>
    <w:rsid w:val="00F56B40"/>
    <w:rsid w:val="00F60E0E"/>
    <w:rsid w:val="00F64E35"/>
    <w:rsid w:val="00F66C11"/>
    <w:rsid w:val="00F67E15"/>
    <w:rsid w:val="00F70010"/>
    <w:rsid w:val="00F71B16"/>
    <w:rsid w:val="00F7371B"/>
    <w:rsid w:val="00F751F6"/>
    <w:rsid w:val="00F81AC1"/>
    <w:rsid w:val="00F83F31"/>
    <w:rsid w:val="00F84985"/>
    <w:rsid w:val="00F95FCD"/>
    <w:rsid w:val="00F96824"/>
    <w:rsid w:val="00F97107"/>
    <w:rsid w:val="00FA6919"/>
    <w:rsid w:val="00FB27F6"/>
    <w:rsid w:val="00FC34AF"/>
    <w:rsid w:val="00FC6FCC"/>
    <w:rsid w:val="00FD015C"/>
    <w:rsid w:val="00FD10C0"/>
    <w:rsid w:val="00FD1A73"/>
    <w:rsid w:val="00FD7EF9"/>
    <w:rsid w:val="00FE066F"/>
    <w:rsid w:val="00FE20F7"/>
    <w:rsid w:val="00FE4CAB"/>
    <w:rsid w:val="00FF1E08"/>
    <w:rsid w:val="00FF53B9"/>
    <w:rsid w:val="00FF584F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D52544"/>
  <w15:docId w15:val="{ED69E134-FF1E-42BE-AB87-31ACBEA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A1"/>
    <w:rPr>
      <w:sz w:val="24"/>
      <w:lang w:val="sr-Cyrl-CS" w:eastAsia="hr-HR"/>
    </w:rPr>
  </w:style>
  <w:style w:type="paragraph" w:styleId="Heading7">
    <w:name w:val="heading 7"/>
    <w:basedOn w:val="Normal"/>
    <w:next w:val="Normal"/>
    <w:qFormat/>
    <w:rsid w:val="002769A1"/>
    <w:pPr>
      <w:keepNext/>
      <w:jc w:val="center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2769A1"/>
    <w:pPr>
      <w:keepNext/>
      <w:jc w:val="center"/>
      <w:outlineLvl w:val="7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69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9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470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C458A"/>
    <w:pPr>
      <w:jc w:val="both"/>
    </w:pPr>
    <w:rPr>
      <w:rFonts w:ascii="Arial" w:hAnsi="Arial" w:cs="Arial"/>
      <w:b/>
      <w:lang w:val="hr-HR"/>
    </w:rPr>
  </w:style>
  <w:style w:type="paragraph" w:styleId="BodyText">
    <w:name w:val="Body Text"/>
    <w:basedOn w:val="Normal"/>
    <w:rsid w:val="000C458A"/>
    <w:pPr>
      <w:spacing w:after="120"/>
    </w:pPr>
  </w:style>
  <w:style w:type="character" w:styleId="SubtleEmphasis">
    <w:name w:val="Subtle Emphasis"/>
    <w:basedOn w:val="DefaultParagraphFont"/>
    <w:uiPriority w:val="19"/>
    <w:qFormat/>
    <w:rsid w:val="000910E8"/>
    <w:rPr>
      <w:i/>
      <w:iCs/>
      <w:color w:val="808080"/>
    </w:rPr>
  </w:style>
  <w:style w:type="character" w:styleId="Hyperlink">
    <w:name w:val="Hyperlink"/>
    <w:basedOn w:val="DefaultParagraphFont"/>
    <w:rsid w:val="00454A8C"/>
    <w:rPr>
      <w:color w:val="0000FF" w:themeColor="hyperlink"/>
      <w:u w:val="single"/>
    </w:rPr>
  </w:style>
  <w:style w:type="paragraph" w:customStyle="1" w:styleId="Default">
    <w:name w:val="Default"/>
    <w:rsid w:val="005E28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ino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F3ED-5434-46E2-B596-5AECA7E6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VAT</dc:creator>
  <cp:lastModifiedBy>Samir Torlaković</cp:lastModifiedBy>
  <cp:revision>3</cp:revision>
  <cp:lastPrinted>2024-11-08T10:20:00Z</cp:lastPrinted>
  <dcterms:created xsi:type="dcterms:W3CDTF">2024-11-08T10:10:00Z</dcterms:created>
  <dcterms:modified xsi:type="dcterms:W3CDTF">2024-11-08T10:21:00Z</dcterms:modified>
</cp:coreProperties>
</file>